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239"/>
        <w:gridCol w:w="6440"/>
      </w:tblGrid>
      <w:tr w:rsidR="00582E96" w:rsidRPr="00582E96" w:rsidTr="00F073BB">
        <w:trPr>
          <w:trHeight w:val="699"/>
        </w:trPr>
        <w:tc>
          <w:tcPr>
            <w:tcW w:w="13948" w:type="dxa"/>
            <w:gridSpan w:val="3"/>
          </w:tcPr>
          <w:p w:rsidR="00582E96" w:rsidRPr="00582E96" w:rsidRDefault="00582E96" w:rsidP="00582E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2E96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8D972C" wp14:editId="2CED4AB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0</wp:posOffset>
                  </wp:positionV>
                  <wp:extent cx="561975" cy="579120"/>
                  <wp:effectExtent l="0" t="0" r="9525" b="0"/>
                  <wp:wrapTight wrapText="bothSides">
                    <wp:wrapPolygon edited="0">
                      <wp:start x="0" y="0"/>
                      <wp:lineTo x="0" y="20605"/>
                      <wp:lineTo x="21234" y="20605"/>
                      <wp:lineTo x="21234" y="0"/>
                      <wp:lineTo x="0" y="0"/>
                    </wp:wrapPolygon>
                  </wp:wrapTight>
                  <wp:docPr id="3" name="Picture 3" descr="C:\Users\scott.k\AppData\Local\Microsoft\Windows\INetCache\Content.MSO\D70D2A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tt.k\AppData\Local\Microsoft\Windows\INetCache\Content.MSO\D70D2A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E96">
              <w:rPr>
                <w:b/>
                <w:sz w:val="24"/>
                <w:szCs w:val="24"/>
                <w:u w:val="single"/>
              </w:rPr>
              <w:t>Barn Owls Year 1</w:t>
            </w:r>
          </w:p>
          <w:p w:rsidR="00582E96" w:rsidRPr="00582E96" w:rsidRDefault="00582E96" w:rsidP="00582E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2E96">
              <w:rPr>
                <w:b/>
                <w:sz w:val="24"/>
                <w:szCs w:val="24"/>
                <w:u w:val="single"/>
              </w:rPr>
              <w:t>Remote learning Plan Week 1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 xml:space="preserve">Day </w:t>
            </w:r>
          </w:p>
        </w:tc>
        <w:tc>
          <w:tcPr>
            <w:tcW w:w="6239" w:type="dxa"/>
          </w:tcPr>
          <w:p w:rsidR="00582E96" w:rsidRPr="00582E96" w:rsidRDefault="00582E96" w:rsidP="00582E96">
            <w:pPr>
              <w:jc w:val="center"/>
              <w:rPr>
                <w:b/>
              </w:rPr>
            </w:pPr>
            <w:r w:rsidRPr="00582E96">
              <w:rPr>
                <w:b/>
              </w:rPr>
              <w:t>Maths</w:t>
            </w:r>
          </w:p>
          <w:p w:rsidR="00582E96" w:rsidRPr="00582E96" w:rsidRDefault="00582E96" w:rsidP="00582E96">
            <w:pPr>
              <w:jc w:val="center"/>
              <w:rPr>
                <w:b/>
              </w:rPr>
            </w:pPr>
            <w:r w:rsidRPr="00582E96">
              <w:rPr>
                <w:b/>
              </w:rPr>
              <w:t>Exploring calculation strategies within 20</w:t>
            </w:r>
          </w:p>
        </w:tc>
        <w:tc>
          <w:tcPr>
            <w:tcW w:w="6440" w:type="dxa"/>
          </w:tcPr>
          <w:p w:rsidR="00582E96" w:rsidRPr="00582E96" w:rsidRDefault="00582E96" w:rsidP="00582E96">
            <w:pPr>
              <w:jc w:val="center"/>
              <w:rPr>
                <w:b/>
              </w:rPr>
            </w:pPr>
            <w:r w:rsidRPr="00582E96">
              <w:rPr>
                <w:b/>
              </w:rPr>
              <w:t>English (including phonics)</w:t>
            </w:r>
          </w:p>
          <w:p w:rsidR="00582E96" w:rsidRPr="00582E96" w:rsidRDefault="00582E96" w:rsidP="00582E96">
            <w:pPr>
              <w:jc w:val="center"/>
              <w:rPr>
                <w:b/>
              </w:rPr>
            </w:pPr>
            <w:r w:rsidRPr="00582E96">
              <w:rPr>
                <w:b/>
              </w:rPr>
              <w:t>The Magic paintbrush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>1</w:t>
            </w:r>
          </w:p>
        </w:tc>
        <w:tc>
          <w:tcPr>
            <w:tcW w:w="6239" w:type="dxa"/>
          </w:tcPr>
          <w:p w:rsidR="00582E96" w:rsidRPr="00582E96" w:rsidRDefault="00582E96" w:rsidP="00582E96">
            <w:r w:rsidRPr="00582E96">
              <w:t xml:space="preserve">Using number bonds when subtracting </w:t>
            </w:r>
          </w:p>
          <w:p w:rsidR="00582E96" w:rsidRPr="00582E96" w:rsidRDefault="0025681F" w:rsidP="00582E96">
            <w:hyperlink r:id="rId6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https://classroom.thenational.academy/lessons/using-number-bonds-when-subtracting-c9h3jd</w:t>
              </w:r>
            </w:hyperlink>
            <w:r w:rsidR="00582E96" w:rsidRPr="00582E96">
              <w:t xml:space="preserve">  </w:t>
            </w:r>
          </w:p>
        </w:tc>
        <w:tc>
          <w:tcPr>
            <w:tcW w:w="6440" w:type="dxa"/>
          </w:tcPr>
          <w:p w:rsidR="00582E96" w:rsidRPr="00582E96" w:rsidRDefault="00582E96" w:rsidP="00582E96">
            <w:r w:rsidRPr="00582E96">
              <w:t>To listen to and respond to a story</w:t>
            </w:r>
          </w:p>
          <w:p w:rsidR="00582E96" w:rsidRPr="00582E96" w:rsidRDefault="0025681F" w:rsidP="00582E96">
            <w:hyperlink r:id="rId7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https://classroom.thenational.academy/lessons/to-listen-to-and-respond-to-a-story-6gvpad</w:t>
              </w:r>
            </w:hyperlink>
            <w:r w:rsidR="00582E96" w:rsidRPr="00582E96">
              <w:t xml:space="preserve"> 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>2</w:t>
            </w:r>
          </w:p>
        </w:tc>
        <w:tc>
          <w:tcPr>
            <w:tcW w:w="6239" w:type="dxa"/>
          </w:tcPr>
          <w:p w:rsidR="00582E96" w:rsidRPr="00582E96" w:rsidRDefault="00582E96" w:rsidP="00582E96">
            <w:r w:rsidRPr="00582E96">
              <w:t xml:space="preserve">Using doubles to calculate near doubles </w:t>
            </w:r>
          </w:p>
          <w:p w:rsidR="00582E96" w:rsidRPr="00582E96" w:rsidRDefault="0025681F" w:rsidP="00582E96">
            <w:hyperlink r:id="rId8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https://classroom.thenational.academy/lessons/using-doubles-to-calculate-near-doubles-60rk6t</w:t>
              </w:r>
            </w:hyperlink>
            <w:r w:rsidR="00582E96" w:rsidRPr="00582E96">
              <w:t xml:space="preserve"> </w:t>
            </w:r>
          </w:p>
        </w:tc>
        <w:tc>
          <w:tcPr>
            <w:tcW w:w="6440" w:type="dxa"/>
          </w:tcPr>
          <w:p w:rsidR="00582E96" w:rsidRPr="00582E96" w:rsidRDefault="00582E96" w:rsidP="00582E96">
            <w:r w:rsidRPr="00582E96">
              <w:t>To tell a story from memory</w:t>
            </w:r>
          </w:p>
          <w:p w:rsidR="00582E96" w:rsidRPr="00582E96" w:rsidRDefault="0025681F" w:rsidP="00582E96">
            <w:hyperlink r:id="rId9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https://classroom.thenational.academy/lessons/to-tell-a-story-from-memory-60uk2t</w:t>
              </w:r>
            </w:hyperlink>
            <w:r w:rsidR="00582E96" w:rsidRPr="00582E96">
              <w:t xml:space="preserve"> 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>3</w:t>
            </w:r>
          </w:p>
        </w:tc>
        <w:tc>
          <w:tcPr>
            <w:tcW w:w="6239" w:type="dxa"/>
          </w:tcPr>
          <w:p w:rsidR="00582E96" w:rsidRPr="00582E96" w:rsidRDefault="00582E96" w:rsidP="00582E96">
            <w:r w:rsidRPr="00582E96">
              <w:t>Using the ‘make 10’ strategy</w:t>
            </w:r>
          </w:p>
          <w:p w:rsidR="00582E96" w:rsidRPr="00582E96" w:rsidRDefault="0025681F" w:rsidP="00582E96">
            <w:hyperlink r:id="rId10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https://classroom.thenational.academy/lessons/using-the-make-ten-strategy-6dj62d</w:t>
              </w:r>
            </w:hyperlink>
            <w:r w:rsidR="00582E96" w:rsidRPr="00582E96">
              <w:t xml:space="preserve"> </w:t>
            </w:r>
          </w:p>
        </w:tc>
        <w:tc>
          <w:tcPr>
            <w:tcW w:w="6440" w:type="dxa"/>
          </w:tcPr>
          <w:p w:rsidR="00582E96" w:rsidRPr="00582E96" w:rsidRDefault="00582E96" w:rsidP="00582E96">
            <w:r w:rsidRPr="00582E96">
              <w:t>To explore the main moods in the story</w:t>
            </w:r>
          </w:p>
          <w:p w:rsidR="00582E96" w:rsidRPr="00582E96" w:rsidRDefault="0025681F" w:rsidP="00582E96">
            <w:hyperlink r:id="rId11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https://classroom.thenational.academy/lessons/to-explore-the-main-moods-in-the-story-61k3ac</w:t>
              </w:r>
            </w:hyperlink>
            <w:r w:rsidR="00582E96" w:rsidRPr="00582E96">
              <w:t xml:space="preserve"> 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>4</w:t>
            </w:r>
          </w:p>
        </w:tc>
        <w:tc>
          <w:tcPr>
            <w:tcW w:w="6239" w:type="dxa"/>
          </w:tcPr>
          <w:p w:rsidR="00582E96" w:rsidRPr="00582E96" w:rsidRDefault="00582E96" w:rsidP="00582E96">
            <w:r w:rsidRPr="00582E96">
              <w:t>Understanding the = sign represents equivalence</w:t>
            </w:r>
          </w:p>
          <w:p w:rsidR="00582E96" w:rsidRPr="00582E96" w:rsidRDefault="0025681F" w:rsidP="00582E96">
            <w:hyperlink r:id="rId12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https://classroom.thenational.academy/lessons/understanding-that-the-symbol-represents-equivalence-6tgk4c</w:t>
              </w:r>
            </w:hyperlink>
            <w:r w:rsidR="00582E96" w:rsidRPr="00582E96">
              <w:t xml:space="preserve"> </w:t>
            </w:r>
          </w:p>
        </w:tc>
        <w:tc>
          <w:tcPr>
            <w:tcW w:w="6440" w:type="dxa"/>
          </w:tcPr>
          <w:p w:rsidR="00582E96" w:rsidRPr="00582E96" w:rsidRDefault="00582E96" w:rsidP="00582E96">
            <w:r w:rsidRPr="00582E96">
              <w:t>To use the past tense (</w:t>
            </w:r>
            <w:proofErr w:type="spellStart"/>
            <w:r w:rsidRPr="00582E96">
              <w:t>ed</w:t>
            </w:r>
            <w:proofErr w:type="spellEnd"/>
            <w:r w:rsidRPr="00582E96">
              <w:t>)</w:t>
            </w:r>
          </w:p>
          <w:p w:rsidR="00582E96" w:rsidRPr="00582E96" w:rsidRDefault="0025681F" w:rsidP="00582E96">
            <w:hyperlink r:id="rId13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https://classroom.thenational.academy/lessons/to-use-the-past-tense-ed-6xhp6d</w:t>
              </w:r>
            </w:hyperlink>
            <w:r w:rsidR="00582E96" w:rsidRPr="00582E96">
              <w:t xml:space="preserve"> </w:t>
            </w:r>
          </w:p>
        </w:tc>
      </w:tr>
      <w:tr w:rsidR="00582E96" w:rsidRPr="00582E96" w:rsidTr="00F073BB">
        <w:tc>
          <w:tcPr>
            <w:tcW w:w="1269" w:type="dxa"/>
          </w:tcPr>
          <w:p w:rsidR="00582E96" w:rsidRPr="00582E96" w:rsidRDefault="0025681F" w:rsidP="00582E96">
            <w:r>
              <w:t>5</w:t>
            </w:r>
          </w:p>
        </w:tc>
        <w:tc>
          <w:tcPr>
            <w:tcW w:w="6239" w:type="dxa"/>
          </w:tcPr>
          <w:p w:rsidR="00582E96" w:rsidRPr="00582E96" w:rsidRDefault="00582E96" w:rsidP="00582E96">
            <w:r w:rsidRPr="00582E96">
              <w:t xml:space="preserve">Choosing calculation strategies to solve calculations. </w:t>
            </w:r>
          </w:p>
          <w:p w:rsidR="00582E96" w:rsidRPr="00582E96" w:rsidRDefault="0025681F" w:rsidP="00582E96">
            <w:hyperlink r:id="rId14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https://classroom.thenational.academy/lessons/choosing-calculation-strategies-to-solve-calculations-cgu3jd</w:t>
              </w:r>
            </w:hyperlink>
            <w:r w:rsidR="00582E96" w:rsidRPr="00582E96">
              <w:t xml:space="preserve"> </w:t>
            </w:r>
          </w:p>
        </w:tc>
        <w:tc>
          <w:tcPr>
            <w:tcW w:w="6440" w:type="dxa"/>
          </w:tcPr>
          <w:p w:rsidR="00582E96" w:rsidRPr="00582E96" w:rsidRDefault="00582E96" w:rsidP="00582E96">
            <w:r w:rsidRPr="00582E96">
              <w:t>To make inferences based on what is said and done</w:t>
            </w:r>
          </w:p>
          <w:p w:rsidR="00582E96" w:rsidRPr="00582E96" w:rsidRDefault="0025681F" w:rsidP="00582E96">
            <w:hyperlink r:id="rId15" w:history="1">
              <w:r w:rsidR="00582E96" w:rsidRPr="00582E96">
                <w:rPr>
                  <w:color w:val="0563C1" w:themeColor="hyperlink"/>
                  <w:u w:val="single"/>
                </w:rPr>
                <w:t>https://classroom.thenational.academy/lessons/to-make-inferences-based-on-what-is-said-and-done-6nk62t</w:t>
              </w:r>
            </w:hyperlink>
            <w:r w:rsidR="00582E96" w:rsidRPr="00582E96">
              <w:t xml:space="preserve"> </w:t>
            </w:r>
          </w:p>
        </w:tc>
      </w:tr>
    </w:tbl>
    <w:p w:rsidR="00582E96" w:rsidRPr="00582E96" w:rsidRDefault="00582E96" w:rsidP="00582E9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82E96" w:rsidRPr="00582E96" w:rsidTr="00F073BB">
        <w:tc>
          <w:tcPr>
            <w:tcW w:w="13948" w:type="dxa"/>
          </w:tcPr>
          <w:p w:rsidR="00582E96" w:rsidRPr="00582E96" w:rsidRDefault="00582E96" w:rsidP="00582E96">
            <w:pPr>
              <w:jc w:val="center"/>
              <w:rPr>
                <w:b/>
              </w:rPr>
            </w:pPr>
            <w:r w:rsidRPr="00582E96">
              <w:rPr>
                <w:b/>
              </w:rPr>
              <w:t xml:space="preserve">Topic activities </w:t>
            </w:r>
          </w:p>
          <w:p w:rsidR="00582E96" w:rsidRPr="00582E96" w:rsidRDefault="00582E96" w:rsidP="00582E96">
            <w:pPr>
              <w:jc w:val="center"/>
            </w:pPr>
            <w:r w:rsidRPr="00582E96">
              <w:rPr>
                <w:b/>
              </w:rPr>
              <w:t>Choose one a day</w:t>
            </w:r>
            <w:r w:rsidRPr="00582E96">
              <w:t xml:space="preserve"> </w:t>
            </w:r>
          </w:p>
        </w:tc>
      </w:tr>
      <w:tr w:rsidR="00582E96" w:rsidRPr="00582E96" w:rsidTr="00F073BB">
        <w:tc>
          <w:tcPr>
            <w:tcW w:w="13948" w:type="dxa"/>
          </w:tcPr>
          <w:p w:rsidR="00582E96" w:rsidRPr="00582E96" w:rsidRDefault="00582E96" w:rsidP="00582E9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180" w:lineRule="atLeast"/>
              <w:textAlignment w:val="center"/>
              <w:rPr>
                <w:rFonts w:ascii="Century Gothic" w:eastAsia="Calibri" w:hAnsi="Century Gothic" w:cs="Twinkl"/>
                <w:bCs/>
                <w:color w:val="1C1C1C"/>
                <w:sz w:val="20"/>
                <w:szCs w:val="20"/>
                <w:lang w:eastAsia="en-GB"/>
              </w:rPr>
            </w:pPr>
            <w:r w:rsidRPr="00582E96">
              <w:rPr>
                <w:rFonts w:ascii="Century Gothic" w:eastAsia="Calibri" w:hAnsi="Century Gothic" w:cs="Twinkl"/>
                <w:bCs/>
                <w:color w:val="1C1C1C"/>
                <w:sz w:val="20"/>
                <w:szCs w:val="20"/>
                <w:lang w:eastAsia="en-GB"/>
              </w:rPr>
              <w:t xml:space="preserve">Make a list of all the farm animals you can think of. Find pictures of farm animals or use model farm animals to create a farm scene. Talk about the different features of each animal e.g. number of legs, colours.  </w:t>
            </w:r>
          </w:p>
        </w:tc>
      </w:tr>
      <w:tr w:rsidR="00582E96" w:rsidRPr="00582E96" w:rsidTr="00F073BB">
        <w:tc>
          <w:tcPr>
            <w:tcW w:w="13948" w:type="dxa"/>
          </w:tcPr>
          <w:p w:rsidR="00582E96" w:rsidRPr="00582E96" w:rsidRDefault="00582E96" w:rsidP="00582E9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Century Gothic" w:eastAsia="Calibri" w:hAnsi="Century Gothic" w:cs="Twinkl"/>
                <w:bCs/>
                <w:color w:val="1C1C1C"/>
                <w:sz w:val="20"/>
                <w:szCs w:val="20"/>
                <w:lang w:eastAsia="en-GB"/>
              </w:rPr>
            </w:pPr>
            <w:r w:rsidRPr="00582E96">
              <w:rPr>
                <w:rFonts w:ascii="Century Gothic" w:eastAsia="Calibri" w:hAnsi="Century Gothic" w:cs="Twinkl"/>
                <w:bCs/>
                <w:color w:val="1C1C1C"/>
                <w:sz w:val="20"/>
                <w:szCs w:val="20"/>
                <w:lang w:eastAsia="en-GB"/>
              </w:rPr>
              <w:t xml:space="preserve">Role play being a vet or a farmer. How do you look after your animals? </w:t>
            </w:r>
          </w:p>
        </w:tc>
      </w:tr>
      <w:tr w:rsidR="00582E96" w:rsidRPr="00582E96" w:rsidTr="00F073BB">
        <w:tc>
          <w:tcPr>
            <w:tcW w:w="13948" w:type="dxa"/>
          </w:tcPr>
          <w:p w:rsidR="00582E96" w:rsidRPr="00582E96" w:rsidRDefault="00582E96" w:rsidP="00582E9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Century Gothic" w:eastAsia="Calibri" w:hAnsi="Century Gothic" w:cs="Twinkl"/>
                <w:color w:val="1C1C1C"/>
                <w:sz w:val="20"/>
                <w:szCs w:val="20"/>
                <w:lang w:eastAsia="en-GB"/>
              </w:rPr>
            </w:pPr>
            <w:r w:rsidRPr="00582E96">
              <w:rPr>
                <w:rFonts w:ascii="Century Gothic" w:eastAsia="Calibri" w:hAnsi="Century Gothic" w:cs="Twinkl"/>
                <w:color w:val="1C1C1C"/>
                <w:sz w:val="20"/>
                <w:szCs w:val="20"/>
                <w:lang w:eastAsia="en-GB"/>
              </w:rPr>
              <w:t xml:space="preserve">Act out being an animal. What animal am I? </w:t>
            </w:r>
          </w:p>
        </w:tc>
      </w:tr>
      <w:tr w:rsidR="00582E96" w:rsidRPr="00582E96" w:rsidTr="00F073BB">
        <w:tc>
          <w:tcPr>
            <w:tcW w:w="13948" w:type="dxa"/>
          </w:tcPr>
          <w:p w:rsidR="00582E96" w:rsidRPr="00582E96" w:rsidRDefault="00582E96" w:rsidP="00582E9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Century Gothic" w:eastAsia="Calibri" w:hAnsi="Century Gothic" w:cs="Twinkl"/>
                <w:color w:val="1C1C1C"/>
                <w:sz w:val="20"/>
                <w:szCs w:val="20"/>
                <w:lang w:eastAsia="en-GB"/>
              </w:rPr>
            </w:pPr>
            <w:r w:rsidRPr="00582E96">
              <w:rPr>
                <w:rFonts w:ascii="Century Gothic" w:eastAsia="Calibri" w:hAnsi="Century Gothic" w:cs="Twinkl"/>
                <w:color w:val="1C1C1C"/>
                <w:sz w:val="20"/>
                <w:szCs w:val="20"/>
                <w:lang w:eastAsia="en-GB"/>
              </w:rPr>
              <w:t xml:space="preserve">Draw/photograph/video an animal (this could be your pet) and label your picture. </w:t>
            </w:r>
          </w:p>
        </w:tc>
      </w:tr>
    </w:tbl>
    <w:p w:rsidR="00226333" w:rsidRDefault="00226333"/>
    <w:sectPr w:rsidR="00226333" w:rsidSect="00582E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867"/>
    <w:multiLevelType w:val="hybridMultilevel"/>
    <w:tmpl w:val="EDC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6"/>
    <w:rsid w:val="00226333"/>
    <w:rsid w:val="0025681F"/>
    <w:rsid w:val="002D637F"/>
    <w:rsid w:val="003A7C7F"/>
    <w:rsid w:val="00582E96"/>
    <w:rsid w:val="00A1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F902"/>
  <w15:chartTrackingRefBased/>
  <w15:docId w15:val="{9090AD44-860A-4691-956C-51A5880A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doubles-to-calculate-near-doubles-60rk6t" TargetMode="External"/><Relationship Id="rId13" Type="http://schemas.openxmlformats.org/officeDocument/2006/relationships/hyperlink" Target="https://classroom.thenational.academy/lessons/to-use-the-past-tense-ed-6xhp6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listen-to-and-respond-to-a-story-6gvpad" TargetMode="External"/><Relationship Id="rId12" Type="http://schemas.openxmlformats.org/officeDocument/2006/relationships/hyperlink" Target="https://classroom.thenational.academy/lessons/understanding-that-the-symbol-represents-equivalence-6tgk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using-number-bonds-when-subtracting-c9h3jd" TargetMode="External"/><Relationship Id="rId11" Type="http://schemas.openxmlformats.org/officeDocument/2006/relationships/hyperlink" Target="https://classroom.thenational.academy/lessons/to-explore-the-main-moods-in-the-story-61k3a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lessons/to-make-inferences-based-on-what-is-said-and-done-6nk62t" TargetMode="External"/><Relationship Id="rId10" Type="http://schemas.openxmlformats.org/officeDocument/2006/relationships/hyperlink" Target="https://classroom.thenational.academy/lessons/using-the-make-ten-strategy-6dj6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tell-a-story-from-memory-60uk2t" TargetMode="External"/><Relationship Id="rId14" Type="http://schemas.openxmlformats.org/officeDocument/2006/relationships/hyperlink" Target="https://classroom.thenational.academy/lessons/choosing-calculation-strategies-to-solve-calculations-cgu3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Kate Scott</cp:lastModifiedBy>
  <cp:revision>2</cp:revision>
  <dcterms:created xsi:type="dcterms:W3CDTF">2021-01-05T08:21:00Z</dcterms:created>
  <dcterms:modified xsi:type="dcterms:W3CDTF">2021-01-05T10:07:00Z</dcterms:modified>
</cp:coreProperties>
</file>